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6" w:rsidRDefault="009A768C">
      <w:pPr>
        <w:pStyle w:val="Heading1"/>
        <w:spacing w:before="26"/>
        <w:ind w:right="2604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Association of Medical Physicists of India" style="position:absolute;left:0;text-align:left;margin-left:457.8pt;margin-top:7.1pt;width:56.25pt;height:57.4pt;z-index:-251659264;mso-position-horizontal-relative:page">
            <v:imagedata r:id="rId5" o:title=""/>
            <w10:wrap anchorx="page"/>
          </v:shape>
        </w:pict>
      </w:r>
      <w:r w:rsidR="00096995">
        <w:rPr>
          <w:spacing w:val="-1"/>
        </w:rPr>
        <w:t>Department</w:t>
      </w:r>
      <w:r w:rsidR="00096995">
        <w:t xml:space="preserve"> </w:t>
      </w:r>
      <w:r w:rsidR="00096995">
        <w:rPr>
          <w:spacing w:val="-1"/>
        </w:rPr>
        <w:t>of</w:t>
      </w:r>
      <w:r w:rsidR="00096995">
        <w:t xml:space="preserve"> </w:t>
      </w:r>
      <w:r w:rsidR="00096995">
        <w:rPr>
          <w:spacing w:val="-1"/>
        </w:rPr>
        <w:t>Radiation Oncology</w:t>
      </w:r>
    </w:p>
    <w:p w:rsidR="00886616" w:rsidRDefault="009A768C">
      <w:pPr>
        <w:spacing w:before="3"/>
        <w:ind w:left="2460" w:right="2459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 id="_x0000_s1026" type="#_x0000_t75" style="position:absolute;left:0;text-align:left;margin-left:72.7pt;margin-top:5.2pt;width:105.35pt;height:39.4pt;z-index:-251658240;mso-position-horizontal-relative:page">
            <v:imagedata r:id="rId6" o:title=""/>
            <w10:wrap anchorx="page"/>
          </v:shape>
        </w:pict>
      </w:r>
      <w:r w:rsidR="00096995">
        <w:rPr>
          <w:rFonts w:ascii="Calibri" w:eastAsia="Calibri" w:hAnsi="Calibri" w:cs="Calibri"/>
          <w:b/>
          <w:bCs/>
          <w:spacing w:val="-1"/>
          <w:sz w:val="28"/>
          <w:szCs w:val="28"/>
        </w:rPr>
        <w:t>CME</w:t>
      </w:r>
      <w:r w:rsidR="00096995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96995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09699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“Electron therapy:</w:t>
      </w:r>
      <w:r w:rsidR="00096995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96995">
        <w:rPr>
          <w:rFonts w:ascii="Calibri" w:eastAsia="Calibri" w:hAnsi="Calibri" w:cs="Calibri"/>
          <w:b/>
          <w:bCs/>
          <w:spacing w:val="-1"/>
          <w:sz w:val="28"/>
          <w:szCs w:val="28"/>
        </w:rPr>
        <w:t>Revisited”</w:t>
      </w:r>
    </w:p>
    <w:p w:rsidR="00886616" w:rsidRDefault="00096995">
      <w:pPr>
        <w:spacing w:before="1" w:line="292" w:lineRule="exact"/>
        <w:ind w:left="2459" w:right="24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Saturday,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June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14,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2014</w:t>
      </w:r>
    </w:p>
    <w:p w:rsidR="00886616" w:rsidRDefault="00096995">
      <w:pPr>
        <w:pStyle w:val="Heading1"/>
        <w:ind w:left="2606" w:right="2604"/>
        <w:jc w:val="center"/>
        <w:rPr>
          <w:b w:val="0"/>
          <w:bCs w:val="0"/>
        </w:rPr>
      </w:pPr>
      <w:r>
        <w:rPr>
          <w:spacing w:val="-1"/>
        </w:rPr>
        <w:t>Fortis</w:t>
      </w:r>
      <w:r>
        <w:rPr>
          <w:spacing w:val="1"/>
        </w:rPr>
        <w:t xml:space="preserve"> </w:t>
      </w:r>
      <w:r>
        <w:rPr>
          <w:spacing w:val="-1"/>
        </w:rPr>
        <w:t>Memorial Research</w:t>
      </w:r>
      <w:r>
        <w:rPr>
          <w:spacing w:val="-3"/>
        </w:rPr>
        <w:t xml:space="preserve"> </w:t>
      </w:r>
      <w:r>
        <w:rPr>
          <w:spacing w:val="-1"/>
        </w:rPr>
        <w:t>Institute,</w:t>
      </w:r>
      <w:r>
        <w:rPr>
          <w:spacing w:val="-2"/>
        </w:rPr>
        <w:t xml:space="preserve"> </w:t>
      </w:r>
      <w:r>
        <w:rPr>
          <w:spacing w:val="-1"/>
        </w:rPr>
        <w:t>Gurgaon</w:t>
      </w:r>
      <w:r>
        <w:rPr>
          <w:spacing w:val="27"/>
        </w:rPr>
        <w:t xml:space="preserve"> </w:t>
      </w:r>
      <w:r>
        <w:rPr>
          <w:spacing w:val="-1"/>
          <w:u w:val="single" w:color="000000"/>
        </w:rPr>
        <w:t>Haryana</w:t>
      </w:r>
      <w:r>
        <w:rPr>
          <w:u w:val="single" w:color="000000"/>
        </w:rPr>
        <w:t xml:space="preserve"> –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122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002</w:t>
      </w:r>
    </w:p>
    <w:p w:rsidR="00886616" w:rsidRDefault="00886616">
      <w:pPr>
        <w:spacing w:before="14" w:line="100" w:lineRule="exact"/>
        <w:rPr>
          <w:sz w:val="10"/>
          <w:szCs w:val="10"/>
        </w:rPr>
      </w:pPr>
    </w:p>
    <w:p w:rsidR="00886616" w:rsidRDefault="009A768C">
      <w:pPr>
        <w:spacing w:before="59"/>
        <w:ind w:left="13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In association with</w:t>
      </w:r>
      <w:bookmarkStart w:id="0" w:name="_GoBack"/>
      <w:bookmarkEnd w:id="0"/>
      <w:r w:rsidR="00096995">
        <w:rPr>
          <w:rFonts w:ascii="Calibri"/>
          <w:b/>
          <w:i/>
          <w:spacing w:val="-1"/>
          <w:sz w:val="20"/>
        </w:rPr>
        <w:t>:</w:t>
      </w:r>
      <w:r w:rsidR="00096995">
        <w:rPr>
          <w:rFonts w:ascii="Calibri"/>
          <w:b/>
          <w:i/>
          <w:spacing w:val="-6"/>
          <w:sz w:val="20"/>
        </w:rPr>
        <w:t xml:space="preserve"> </w:t>
      </w:r>
      <w:r w:rsidR="00096995">
        <w:rPr>
          <w:rFonts w:ascii="Calibri"/>
          <w:b/>
          <w:i/>
          <w:spacing w:val="-1"/>
          <w:sz w:val="20"/>
        </w:rPr>
        <w:t>Association</w:t>
      </w:r>
      <w:r w:rsidR="00096995">
        <w:rPr>
          <w:rFonts w:ascii="Calibri"/>
          <w:b/>
          <w:i/>
          <w:spacing w:val="-6"/>
          <w:sz w:val="20"/>
        </w:rPr>
        <w:t xml:space="preserve"> </w:t>
      </w:r>
      <w:r w:rsidR="00096995">
        <w:rPr>
          <w:rFonts w:ascii="Calibri"/>
          <w:b/>
          <w:i/>
          <w:sz w:val="20"/>
        </w:rPr>
        <w:t>of</w:t>
      </w:r>
      <w:r w:rsidR="00096995">
        <w:rPr>
          <w:rFonts w:ascii="Calibri"/>
          <w:b/>
          <w:i/>
          <w:spacing w:val="-8"/>
          <w:sz w:val="20"/>
        </w:rPr>
        <w:t xml:space="preserve"> </w:t>
      </w:r>
      <w:r w:rsidR="00096995">
        <w:rPr>
          <w:rFonts w:ascii="Calibri"/>
          <w:b/>
          <w:i/>
          <w:spacing w:val="-1"/>
          <w:sz w:val="20"/>
        </w:rPr>
        <w:t>Medical</w:t>
      </w:r>
      <w:r w:rsidR="00096995">
        <w:rPr>
          <w:rFonts w:ascii="Calibri"/>
          <w:b/>
          <w:i/>
          <w:spacing w:val="-7"/>
          <w:sz w:val="20"/>
        </w:rPr>
        <w:t xml:space="preserve"> </w:t>
      </w:r>
      <w:r w:rsidR="00096995">
        <w:rPr>
          <w:rFonts w:ascii="Calibri"/>
          <w:b/>
          <w:i/>
          <w:spacing w:val="-1"/>
          <w:sz w:val="20"/>
        </w:rPr>
        <w:t>Physicists</w:t>
      </w:r>
      <w:r w:rsidR="00096995">
        <w:rPr>
          <w:rFonts w:ascii="Calibri"/>
          <w:b/>
          <w:i/>
          <w:spacing w:val="-6"/>
          <w:sz w:val="20"/>
        </w:rPr>
        <w:t xml:space="preserve"> </w:t>
      </w:r>
      <w:r w:rsidR="00096995">
        <w:rPr>
          <w:rFonts w:ascii="Calibri"/>
          <w:b/>
          <w:i/>
          <w:sz w:val="20"/>
        </w:rPr>
        <w:t>of</w:t>
      </w:r>
      <w:r w:rsidR="00096995">
        <w:rPr>
          <w:rFonts w:ascii="Calibri"/>
          <w:b/>
          <w:i/>
          <w:spacing w:val="-8"/>
          <w:sz w:val="20"/>
        </w:rPr>
        <w:t xml:space="preserve"> </w:t>
      </w:r>
      <w:r w:rsidR="00096995">
        <w:rPr>
          <w:rFonts w:ascii="Calibri"/>
          <w:b/>
          <w:i/>
          <w:sz w:val="20"/>
        </w:rPr>
        <w:t>India</w:t>
      </w:r>
      <w:r w:rsidR="00096995">
        <w:rPr>
          <w:rFonts w:ascii="Calibri"/>
          <w:b/>
          <w:i/>
          <w:spacing w:val="-4"/>
          <w:sz w:val="20"/>
        </w:rPr>
        <w:t xml:space="preserve"> </w:t>
      </w:r>
      <w:r w:rsidR="00096995">
        <w:rPr>
          <w:rFonts w:ascii="Calibri"/>
          <w:b/>
          <w:i/>
          <w:spacing w:val="-1"/>
          <w:sz w:val="20"/>
        </w:rPr>
        <w:t>(Northern</w:t>
      </w:r>
      <w:r w:rsidR="00096995">
        <w:rPr>
          <w:rFonts w:ascii="Calibri"/>
          <w:b/>
          <w:i/>
          <w:spacing w:val="-7"/>
          <w:sz w:val="20"/>
        </w:rPr>
        <w:t xml:space="preserve"> </w:t>
      </w:r>
      <w:r w:rsidR="00096995">
        <w:rPr>
          <w:rFonts w:ascii="Calibri"/>
          <w:b/>
          <w:i/>
          <w:spacing w:val="-1"/>
          <w:sz w:val="20"/>
        </w:rPr>
        <w:t>Chapter)</w:t>
      </w:r>
    </w:p>
    <w:p w:rsidR="00886616" w:rsidRDefault="00886616">
      <w:pPr>
        <w:spacing w:before="17" w:line="120" w:lineRule="exact"/>
        <w:rPr>
          <w:sz w:val="12"/>
          <w:szCs w:val="12"/>
        </w:rPr>
      </w:pPr>
    </w:p>
    <w:p w:rsidR="00C93207" w:rsidRDefault="00C93207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494E36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Electron radiotherapy has been available for decades. With their finite range, beyond which the dose falls off rapidly to near zero value, electron beams are well suited to treat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several lesions.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However, the recent advances in radiation oncology, like the intensity-modulated radiotherapy (IMRT), have made a huge dent in the practice of electron radiotherapy. The lesser interest in the subject is obviously visible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 As a direct consequence,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electron therapy rarely undergoes the rigorous quality assurance procedures that are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considered mandatory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with photon beam therapy.</w:t>
      </w:r>
    </w:p>
    <w:p w:rsidR="00494E36" w:rsidRPr="00A63FF3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  <w:t>Yet therapy with electron beams is far from being called</w:t>
      </w:r>
      <w:r w:rsidR="00142F4D"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as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obsolete.  In</w:t>
      </w:r>
      <w:r w:rsidR="00142F4D"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spite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of the array of treatment techniques available in a modern clinic, electron therapy still enjoys a well-defined role. The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ir application include treatment of skin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tumours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boost to the </w:t>
      </w:r>
      <w:proofErr w:type="spellStart"/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tumour</w:t>
      </w:r>
      <w:proofErr w:type="spellEnd"/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bed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after lumpectomy in breast cancer, post mastectomy chest wall treatment, total skin electron therapy, posterior neck nodes, re-irradiation of some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tumours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and so on.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planning and delivery of electrons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may not be as complicated as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an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IMRT or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stereotactic procedure warranting an elaborate QA process, but its therapeutic nature calls for a suitably designed QA process in place.</w:t>
      </w:r>
    </w:p>
    <w:p w:rsidR="00494E36" w:rsidRPr="00A63FF3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  <w:t xml:space="preserve">It is against this background the continuing medical education (CME) </w:t>
      </w:r>
      <w:proofErr w:type="spellStart"/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on </w:t>
      </w:r>
      <w:r w:rsidRPr="00361AF4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</w:rPr>
        <w:t>“Electron therapy: Revisited”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has been planned to be hosted by the Department of Radiation Oncology, Fortis Memorial Research Institute, Gurgaon in collaboration with Association of Medical Physicists of India -  Northern Chapter. The one-day long CME program will focus on the role electron therapy in current radiation oncology practice with emphasis on quality. It will cover all aspects of electron therapy – basic physics, intricacies involved in beam calibration including cross-calibration, shielding te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chniques, use of bolus, rules to be followed while using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bolus, use of cutouts,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estimating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beam output changes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for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cutouts,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treatment planning system related issues,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practical considerations, etc.</w:t>
      </w:r>
    </w:p>
    <w:p w:rsidR="00494E36" w:rsidRPr="00A63FF3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494E36" w:rsidRPr="00A63FF3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The CME program will comprise of lectures by eminent speakers who have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long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professional experience in the field.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Practical m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easurements on clinical linear accelerators using different electron energies have also been planned as part of the program.</w:t>
      </w:r>
    </w:p>
    <w:p w:rsidR="00494E36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  <w:t>Practicing young medical p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hysicists, radiation oncology residents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radiation therapy technologists will find the program very useful. Participants will have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the opportunity of direct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interacti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on with 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facult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y during the CME.</w:t>
      </w:r>
    </w:p>
    <w:p w:rsidR="00494E36" w:rsidRPr="00A63FF3" w:rsidRDefault="00494E36" w:rsidP="00494E36">
      <w:pPr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  <w:t>The CME will be limited to 10</w:t>
      </w:r>
      <w:r w:rsidRPr="00A63FF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0 participants in all. Pre-registration with full course fees is a must. It is planned that 75% of the available seats will be for practicing medical physicists, and the remaining 25% for the combined group of radiation oncologists and radiation therapy technologists. Registration will be on first-come, first-served basis.</w:t>
      </w:r>
    </w:p>
    <w:p w:rsidR="00886616" w:rsidRDefault="00886616" w:rsidP="00494E36">
      <w:pPr>
        <w:pStyle w:val="BodyText"/>
        <w:spacing w:before="56" w:line="276" w:lineRule="auto"/>
        <w:ind w:left="120" w:right="117"/>
        <w:jc w:val="both"/>
      </w:pPr>
    </w:p>
    <w:sectPr w:rsidR="00886616" w:rsidSect="00886616">
      <w:type w:val="continuous"/>
      <w:pgSz w:w="11910" w:h="16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6616"/>
    <w:rsid w:val="00096995"/>
    <w:rsid w:val="00142F4D"/>
    <w:rsid w:val="00494E36"/>
    <w:rsid w:val="00886616"/>
    <w:rsid w:val="009A768C"/>
    <w:rsid w:val="00C93207"/>
    <w:rsid w:val="00F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616"/>
  </w:style>
  <w:style w:type="paragraph" w:styleId="Heading1">
    <w:name w:val="heading 1"/>
    <w:basedOn w:val="Normal"/>
    <w:uiPriority w:val="1"/>
    <w:qFormat/>
    <w:rsid w:val="00886616"/>
    <w:pPr>
      <w:ind w:left="260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6616"/>
    <w:pPr>
      <w:spacing w:before="196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86616"/>
  </w:style>
  <w:style w:type="paragraph" w:customStyle="1" w:styleId="TableParagraph">
    <w:name w:val="Table Paragraph"/>
    <w:basedOn w:val="Normal"/>
    <w:uiPriority w:val="1"/>
    <w:qFormat/>
    <w:rsid w:val="0088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Ganesh</dc:creator>
  <cp:lastModifiedBy>T Ganesh</cp:lastModifiedBy>
  <cp:revision>5</cp:revision>
  <dcterms:created xsi:type="dcterms:W3CDTF">2014-04-28T17:04:00Z</dcterms:created>
  <dcterms:modified xsi:type="dcterms:W3CDTF">2014-05-05T03:29:00Z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2014-04-19T00:00:00Z</vt:filetime>
  </property>
  <property fmtid="{D5CDD505-2E9C-101B-9397-08002B2CF9AE}" pid="3" name="LastSaved">
    <vt:filetime>2014-04-19T00:00:00Z</vt:filetime>
  </property>
</Properties>
</file>